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В 2018 году распределение и выдача разрешений на добычу охотничьих ресурсов физическими лицами, осуществляющими охоту в общедоступных охотничьих угодьях Тюменской области, будет проходить с учетом принятых новых положений нормативно-правовых актов Тюменской области в сфере охоты и сохранения охотничьих ресурсов.</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В частности, в статье 5 Закона Тюменской области от 24.12.2010 N 92 (ред. от 06.12.2017) «О добыче охотничьих ресурсов в Тюменской области» (далее – Закон «О добыче»), регламентирующей процедуру распределения разрешений на добычу охотничьих ресурсов физическими лицами, осуществляющими охоту в общедоступных охотничьих угодьях Тюменской области, определен ряд новых положений. Обзор изменений можете прочитать по </w:t>
      </w:r>
      <w:hyperlink r:id="rId5" w:history="1">
        <w:r w:rsidRPr="008C5E58">
          <w:rPr>
            <w:rFonts w:ascii="Arial" w:eastAsia="Times New Roman" w:hAnsi="Arial" w:cs="Arial"/>
            <w:color w:val="5E5DA0"/>
            <w:sz w:val="23"/>
            <w:u w:val="single"/>
            <w:lang w:eastAsia="ru-RU"/>
          </w:rPr>
          <w:t>ссылке</w:t>
        </w:r>
      </w:hyperlink>
      <w:r w:rsidRPr="008C5E58">
        <w:rPr>
          <w:rFonts w:ascii="Arial" w:eastAsia="Times New Roman" w:hAnsi="Arial" w:cs="Arial"/>
          <w:color w:val="000000"/>
          <w:sz w:val="23"/>
          <w:szCs w:val="23"/>
          <w:lang w:eastAsia="ru-RU"/>
        </w:rPr>
        <w:t>.</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Новая редакция Закона «О добыче» вступает в силу с 1 января 2018 года.</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proofErr w:type="gramStart"/>
      <w:r w:rsidRPr="008C5E58">
        <w:rPr>
          <w:rFonts w:ascii="Arial" w:eastAsia="Times New Roman" w:hAnsi="Arial" w:cs="Arial"/>
          <w:color w:val="000000"/>
          <w:sz w:val="23"/>
          <w:szCs w:val="23"/>
          <w:lang w:eastAsia="ru-RU"/>
        </w:rPr>
        <w:t>Кроме того, в новой редакции принято </w:t>
      </w:r>
      <w:hyperlink r:id="rId6" w:tgtFrame="_blank" w:history="1">
        <w:r w:rsidRPr="008C5E58">
          <w:rPr>
            <w:rFonts w:ascii="Arial" w:eastAsia="Times New Roman" w:hAnsi="Arial" w:cs="Arial"/>
            <w:color w:val="5E5DA0"/>
            <w:sz w:val="23"/>
            <w:u w:val="single"/>
            <w:lang w:eastAsia="ru-RU"/>
          </w:rPr>
          <w:t>постановление правительства Тюменской области</w:t>
        </w:r>
      </w:hyperlink>
      <w:r w:rsidRPr="008C5E58">
        <w:rPr>
          <w:rFonts w:ascii="Arial" w:eastAsia="Times New Roman" w:hAnsi="Arial" w:cs="Arial"/>
          <w:color w:val="000000"/>
          <w:sz w:val="23"/>
          <w:szCs w:val="23"/>
          <w:lang w:eastAsia="ru-RU"/>
        </w:rPr>
        <w:t> от 13.08.2012 №221-п «Об утверждении норм допустимой добычи охотничьих ресурсов, в отношении которых не устанавливается лимит добычи, и норм пропускной способности охотничьих угодий в Тюменской области», которым в том числе утверждены нормы пропускной способности общедоступных охотничьих угодий Тюменской области (приложение 2 к постановлению).</w:t>
      </w:r>
      <w:proofErr w:type="gramEnd"/>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В новой редакции нормы пропускной способности охотничьих угодий установлены </w:t>
      </w:r>
      <w:proofErr w:type="gramStart"/>
      <w:r w:rsidRPr="008C5E58">
        <w:rPr>
          <w:rFonts w:ascii="Arial" w:eastAsia="Times New Roman" w:hAnsi="Arial" w:cs="Arial"/>
          <w:color w:val="000000"/>
          <w:sz w:val="23"/>
          <w:szCs w:val="23"/>
          <w:lang w:eastAsia="ru-RU"/>
        </w:rPr>
        <w:t>с</w:t>
      </w:r>
      <w:proofErr w:type="gramEnd"/>
      <w:r w:rsidRPr="008C5E58">
        <w:rPr>
          <w:rFonts w:ascii="Arial" w:eastAsia="Times New Roman" w:hAnsi="Arial" w:cs="Arial"/>
          <w:color w:val="000000"/>
          <w:sz w:val="23"/>
          <w:szCs w:val="23"/>
          <w:lang w:eastAsia="ru-RU"/>
        </w:rPr>
        <w:t xml:space="preserve"> </w:t>
      </w:r>
      <w:proofErr w:type="gramStart"/>
      <w:r w:rsidRPr="008C5E58">
        <w:rPr>
          <w:rFonts w:ascii="Arial" w:eastAsia="Times New Roman" w:hAnsi="Arial" w:cs="Arial"/>
          <w:color w:val="000000"/>
          <w:sz w:val="23"/>
          <w:szCs w:val="23"/>
          <w:lang w:eastAsia="ru-RU"/>
        </w:rPr>
        <w:t>разрезе</w:t>
      </w:r>
      <w:proofErr w:type="gramEnd"/>
      <w:r w:rsidRPr="008C5E58">
        <w:rPr>
          <w:rFonts w:ascii="Arial" w:eastAsia="Times New Roman" w:hAnsi="Arial" w:cs="Arial"/>
          <w:color w:val="000000"/>
          <w:sz w:val="23"/>
          <w:szCs w:val="23"/>
          <w:lang w:eastAsia="ru-RU"/>
        </w:rPr>
        <w:t xml:space="preserve"> природно-климатических зон области (далее – Зона) в отношении видов (групп видов) охотничьих ресурсов. Всего выделено 4 Зоны, каждая Зона включает в себя ряд районов:</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1 Зона – южная тайга: </w:t>
      </w:r>
      <w:proofErr w:type="spellStart"/>
      <w:r w:rsidRPr="008C5E58">
        <w:rPr>
          <w:rFonts w:ascii="Arial" w:eastAsia="Times New Roman" w:hAnsi="Arial" w:cs="Arial"/>
          <w:color w:val="000000"/>
          <w:sz w:val="23"/>
          <w:szCs w:val="23"/>
          <w:lang w:eastAsia="ru-RU"/>
        </w:rPr>
        <w:t>Уватский</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Тобольский</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Вагайский</w:t>
      </w:r>
      <w:proofErr w:type="spellEnd"/>
      <w:r w:rsidRPr="008C5E58">
        <w:rPr>
          <w:rFonts w:ascii="Arial" w:eastAsia="Times New Roman" w:hAnsi="Arial" w:cs="Arial"/>
          <w:color w:val="000000"/>
          <w:sz w:val="23"/>
          <w:szCs w:val="23"/>
          <w:lang w:eastAsia="ru-RU"/>
        </w:rPr>
        <w:t xml:space="preserve"> муниципальные районы;</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2 Зона – </w:t>
      </w:r>
      <w:proofErr w:type="spellStart"/>
      <w:r w:rsidRPr="008C5E58">
        <w:rPr>
          <w:rFonts w:ascii="Arial" w:eastAsia="Times New Roman" w:hAnsi="Arial" w:cs="Arial"/>
          <w:color w:val="000000"/>
          <w:sz w:val="23"/>
          <w:szCs w:val="23"/>
          <w:lang w:eastAsia="ru-RU"/>
        </w:rPr>
        <w:t>подтайга</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Нижнетавдинский</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Ярковский</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Юргинский</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Аромашевский</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Сорокинский</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Викуловский</w:t>
      </w:r>
      <w:proofErr w:type="spellEnd"/>
      <w:r w:rsidRPr="008C5E58">
        <w:rPr>
          <w:rFonts w:ascii="Arial" w:eastAsia="Times New Roman" w:hAnsi="Arial" w:cs="Arial"/>
          <w:color w:val="000000"/>
          <w:sz w:val="23"/>
          <w:szCs w:val="23"/>
          <w:lang w:eastAsia="ru-RU"/>
        </w:rPr>
        <w:t xml:space="preserve"> муниципальные районы;</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3 Зона – северная лесостепь: Тюменский, </w:t>
      </w:r>
      <w:proofErr w:type="spellStart"/>
      <w:r w:rsidRPr="008C5E58">
        <w:rPr>
          <w:rFonts w:ascii="Arial" w:eastAsia="Times New Roman" w:hAnsi="Arial" w:cs="Arial"/>
          <w:color w:val="000000"/>
          <w:sz w:val="23"/>
          <w:szCs w:val="23"/>
          <w:lang w:eastAsia="ru-RU"/>
        </w:rPr>
        <w:t>Исетский</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Ялуторовский</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Упоровский</w:t>
      </w:r>
      <w:proofErr w:type="spellEnd"/>
      <w:r w:rsidRPr="008C5E58">
        <w:rPr>
          <w:rFonts w:ascii="Arial" w:eastAsia="Times New Roman" w:hAnsi="Arial" w:cs="Arial"/>
          <w:color w:val="000000"/>
          <w:sz w:val="23"/>
          <w:szCs w:val="23"/>
          <w:lang w:eastAsia="ru-RU"/>
        </w:rPr>
        <w:t xml:space="preserve">, Омутинский, </w:t>
      </w:r>
      <w:proofErr w:type="spellStart"/>
      <w:r w:rsidRPr="008C5E58">
        <w:rPr>
          <w:rFonts w:ascii="Arial" w:eastAsia="Times New Roman" w:hAnsi="Arial" w:cs="Arial"/>
          <w:color w:val="000000"/>
          <w:sz w:val="23"/>
          <w:szCs w:val="23"/>
          <w:lang w:eastAsia="ru-RU"/>
        </w:rPr>
        <w:t>Голышмановский</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Ишимский</w:t>
      </w:r>
      <w:proofErr w:type="spellEnd"/>
      <w:r w:rsidRPr="008C5E58">
        <w:rPr>
          <w:rFonts w:ascii="Arial" w:eastAsia="Times New Roman" w:hAnsi="Arial" w:cs="Arial"/>
          <w:color w:val="000000"/>
          <w:sz w:val="23"/>
          <w:szCs w:val="23"/>
          <w:lang w:eastAsia="ru-RU"/>
        </w:rPr>
        <w:t xml:space="preserve">, Абатский муниципальные районы, </w:t>
      </w:r>
      <w:proofErr w:type="spellStart"/>
      <w:r w:rsidRPr="008C5E58">
        <w:rPr>
          <w:rFonts w:ascii="Arial" w:eastAsia="Times New Roman" w:hAnsi="Arial" w:cs="Arial"/>
          <w:color w:val="000000"/>
          <w:sz w:val="23"/>
          <w:szCs w:val="23"/>
          <w:lang w:eastAsia="ru-RU"/>
        </w:rPr>
        <w:t>Заводоуковский</w:t>
      </w:r>
      <w:proofErr w:type="spellEnd"/>
      <w:r w:rsidRPr="008C5E58">
        <w:rPr>
          <w:rFonts w:ascii="Arial" w:eastAsia="Times New Roman" w:hAnsi="Arial" w:cs="Arial"/>
          <w:color w:val="000000"/>
          <w:sz w:val="23"/>
          <w:szCs w:val="23"/>
          <w:lang w:eastAsia="ru-RU"/>
        </w:rPr>
        <w:t xml:space="preserve"> городской округ;</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4 Зона – средняя лесостепь: </w:t>
      </w:r>
      <w:proofErr w:type="spellStart"/>
      <w:r w:rsidRPr="008C5E58">
        <w:rPr>
          <w:rFonts w:ascii="Arial" w:eastAsia="Times New Roman" w:hAnsi="Arial" w:cs="Arial"/>
          <w:color w:val="000000"/>
          <w:sz w:val="23"/>
          <w:szCs w:val="23"/>
          <w:lang w:eastAsia="ru-RU"/>
        </w:rPr>
        <w:t>Армизонский</w:t>
      </w:r>
      <w:proofErr w:type="spell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Бердюжский</w:t>
      </w:r>
      <w:proofErr w:type="spellEnd"/>
      <w:r w:rsidRPr="008C5E58">
        <w:rPr>
          <w:rFonts w:ascii="Arial" w:eastAsia="Times New Roman" w:hAnsi="Arial" w:cs="Arial"/>
          <w:color w:val="000000"/>
          <w:sz w:val="23"/>
          <w:szCs w:val="23"/>
          <w:lang w:eastAsia="ru-RU"/>
        </w:rPr>
        <w:t xml:space="preserve">, </w:t>
      </w:r>
      <w:proofErr w:type="gramStart"/>
      <w:r w:rsidRPr="008C5E58">
        <w:rPr>
          <w:rFonts w:ascii="Arial" w:eastAsia="Times New Roman" w:hAnsi="Arial" w:cs="Arial"/>
          <w:color w:val="000000"/>
          <w:sz w:val="23"/>
          <w:szCs w:val="23"/>
          <w:lang w:eastAsia="ru-RU"/>
        </w:rPr>
        <w:t>Казанский</w:t>
      </w:r>
      <w:proofErr w:type="gramEnd"/>
      <w:r w:rsidRPr="008C5E58">
        <w:rPr>
          <w:rFonts w:ascii="Arial" w:eastAsia="Times New Roman" w:hAnsi="Arial" w:cs="Arial"/>
          <w:color w:val="000000"/>
          <w:sz w:val="23"/>
          <w:szCs w:val="23"/>
          <w:lang w:eastAsia="ru-RU"/>
        </w:rPr>
        <w:t xml:space="preserve">, </w:t>
      </w:r>
      <w:proofErr w:type="spellStart"/>
      <w:r w:rsidRPr="008C5E58">
        <w:rPr>
          <w:rFonts w:ascii="Arial" w:eastAsia="Times New Roman" w:hAnsi="Arial" w:cs="Arial"/>
          <w:color w:val="000000"/>
          <w:sz w:val="23"/>
          <w:szCs w:val="23"/>
          <w:lang w:eastAsia="ru-RU"/>
        </w:rPr>
        <w:t>Сладковский</w:t>
      </w:r>
      <w:proofErr w:type="spellEnd"/>
      <w:r w:rsidRPr="008C5E58">
        <w:rPr>
          <w:rFonts w:ascii="Arial" w:eastAsia="Times New Roman" w:hAnsi="Arial" w:cs="Arial"/>
          <w:color w:val="000000"/>
          <w:sz w:val="23"/>
          <w:szCs w:val="23"/>
          <w:lang w:eastAsia="ru-RU"/>
        </w:rPr>
        <w:t xml:space="preserve"> муниципальные районы.</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Нормы пропускной способности охотничьих угодий в отношении конкретных видов и/или групп видов охотничьих ресурсов в рамках одной зоны совпадают, что позволяет, при условии отсутствия оснований для отказа, распределять и выдавать разрешения на несколько районов, но входящих только в одну конкретную Зону.</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Кроме того, отдельно установлены нормы пропускной способности охотничьих угодий по боровой дичи для охоты с подружейными собаками, нормы пропускной способности по группам болотно-луговой и полевой дичи (приложение 2 к постановлению).</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proofErr w:type="gramStart"/>
      <w:r w:rsidRPr="008C5E58">
        <w:rPr>
          <w:rFonts w:ascii="Arial" w:eastAsia="Times New Roman" w:hAnsi="Arial" w:cs="Arial"/>
          <w:color w:val="000000"/>
          <w:sz w:val="23"/>
          <w:szCs w:val="23"/>
          <w:lang w:eastAsia="ru-RU"/>
        </w:rPr>
        <w:t>Нормы пропускной способности охотничьих угодий (приложение 2 к </w:t>
      </w:r>
      <w:hyperlink r:id="rId7" w:history="1">
        <w:r w:rsidRPr="008C5E58">
          <w:rPr>
            <w:rFonts w:ascii="Arial" w:eastAsia="Times New Roman" w:hAnsi="Arial" w:cs="Arial"/>
            <w:color w:val="5E5DA0"/>
            <w:sz w:val="23"/>
            <w:u w:val="single"/>
            <w:lang w:eastAsia="ru-RU"/>
          </w:rPr>
          <w:t>постановлению</w:t>
        </w:r>
      </w:hyperlink>
      <w:r w:rsidRPr="008C5E58">
        <w:rPr>
          <w:rFonts w:ascii="Arial" w:eastAsia="Times New Roman" w:hAnsi="Arial" w:cs="Arial"/>
          <w:color w:val="000000"/>
          <w:sz w:val="23"/>
          <w:szCs w:val="23"/>
          <w:lang w:eastAsia="ru-RU"/>
        </w:rPr>
        <w:t>) из видов пернатой дичи установлены в отношении водоплавающей дичи (уток, гусей, лысухи, камышницы); глухаря, тетерева; вальдшнепа; рябчика, куропатки белой; полевой дичи (перепела, серой куропатки, голубей); болотно-луговой дичи;</w:t>
      </w:r>
      <w:proofErr w:type="gramEnd"/>
      <w:r w:rsidRPr="008C5E58">
        <w:rPr>
          <w:rFonts w:ascii="Arial" w:eastAsia="Times New Roman" w:hAnsi="Arial" w:cs="Arial"/>
          <w:color w:val="000000"/>
          <w:sz w:val="23"/>
          <w:szCs w:val="23"/>
          <w:lang w:eastAsia="ru-RU"/>
        </w:rPr>
        <w:t xml:space="preserve"> охоты на боровую дичь с подружейными собаками (островными и континентальными легавыми собаками, </w:t>
      </w:r>
      <w:proofErr w:type="spellStart"/>
      <w:r w:rsidRPr="008C5E58">
        <w:rPr>
          <w:rFonts w:ascii="Arial" w:eastAsia="Times New Roman" w:hAnsi="Arial" w:cs="Arial"/>
          <w:color w:val="000000"/>
          <w:sz w:val="23"/>
          <w:szCs w:val="23"/>
          <w:lang w:eastAsia="ru-RU"/>
        </w:rPr>
        <w:t>ретриверами</w:t>
      </w:r>
      <w:proofErr w:type="spellEnd"/>
      <w:r w:rsidRPr="008C5E58">
        <w:rPr>
          <w:rFonts w:ascii="Arial" w:eastAsia="Times New Roman" w:hAnsi="Arial" w:cs="Arial"/>
          <w:color w:val="000000"/>
          <w:sz w:val="23"/>
          <w:szCs w:val="23"/>
          <w:lang w:eastAsia="ru-RU"/>
        </w:rPr>
        <w:t>, спаниелями) в отношении охоты на пернатую дичь в летне-</w:t>
      </w:r>
      <w:r w:rsidRPr="008C5E58">
        <w:rPr>
          <w:rFonts w:ascii="Arial" w:eastAsia="Times New Roman" w:hAnsi="Arial" w:cs="Arial"/>
          <w:color w:val="000000"/>
          <w:sz w:val="23"/>
          <w:szCs w:val="23"/>
          <w:lang w:eastAsia="ru-RU"/>
        </w:rPr>
        <w:lastRenderedPageBreak/>
        <w:t>осенний период, а также на самцов глухаря, тетерева, на вальдшнепа, самцов уток (селезень), гусей — в отношении охоты в весенний период.</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proofErr w:type="gramStart"/>
      <w:r w:rsidRPr="008C5E58">
        <w:rPr>
          <w:rFonts w:ascii="Arial" w:eastAsia="Times New Roman" w:hAnsi="Arial" w:cs="Arial"/>
          <w:color w:val="000000"/>
          <w:sz w:val="23"/>
          <w:szCs w:val="23"/>
          <w:lang w:eastAsia="ru-RU"/>
        </w:rPr>
        <w:t>Из видов пушных животных — волка, белки, горностая, зайца-беляка, колонка, лисицы, хоря степного, енотовидной собаки, норки американской, ондатры, водяной полёвки.</w:t>
      </w:r>
      <w:proofErr w:type="gramEnd"/>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Из видов копытных животных – в отношении кабана.</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В отношении </w:t>
      </w:r>
      <w:r w:rsidRPr="008C5E58">
        <w:rPr>
          <w:rFonts w:ascii="Arial" w:eastAsia="Times New Roman" w:hAnsi="Arial" w:cs="Arial"/>
          <w:color w:val="000000"/>
          <w:sz w:val="23"/>
          <w:szCs w:val="23"/>
          <w:u w:val="single"/>
          <w:lang w:eastAsia="ru-RU"/>
        </w:rPr>
        <w:t>рыси, соболя, выдры</w:t>
      </w:r>
      <w:r w:rsidRPr="008C5E58">
        <w:rPr>
          <w:rFonts w:ascii="Arial" w:eastAsia="Times New Roman" w:hAnsi="Arial" w:cs="Arial"/>
          <w:color w:val="000000"/>
          <w:sz w:val="23"/>
          <w:szCs w:val="23"/>
          <w:lang w:eastAsia="ru-RU"/>
        </w:rPr>
        <w:t> устанавливаются лимиты добычи.</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В отношении </w:t>
      </w:r>
      <w:r w:rsidRPr="008C5E58">
        <w:rPr>
          <w:rFonts w:ascii="Arial" w:eastAsia="Times New Roman" w:hAnsi="Arial" w:cs="Arial"/>
          <w:color w:val="000000"/>
          <w:sz w:val="23"/>
          <w:szCs w:val="23"/>
          <w:u w:val="single"/>
          <w:lang w:eastAsia="ru-RU"/>
        </w:rPr>
        <w:t>росомахи, куницы лесной и европейского речного бобра</w:t>
      </w:r>
      <w:r w:rsidRPr="008C5E58">
        <w:rPr>
          <w:rFonts w:ascii="Arial" w:eastAsia="Times New Roman" w:hAnsi="Arial" w:cs="Arial"/>
          <w:color w:val="000000"/>
          <w:sz w:val="23"/>
          <w:szCs w:val="23"/>
          <w:lang w:eastAsia="ru-RU"/>
        </w:rPr>
        <w:t xml:space="preserve"> установлен норматив допустимого изъятия для определения объема (количество особей) добычи данных видов. </w:t>
      </w:r>
      <w:proofErr w:type="gramStart"/>
      <w:r w:rsidRPr="008C5E58">
        <w:rPr>
          <w:rFonts w:ascii="Arial" w:eastAsia="Times New Roman" w:hAnsi="Arial" w:cs="Arial"/>
          <w:color w:val="000000"/>
          <w:sz w:val="23"/>
          <w:szCs w:val="23"/>
          <w:lang w:eastAsia="ru-RU"/>
        </w:rPr>
        <w:t>Приказом Минприроды России от 30.04.2010 № 138 (ред. от 11.01.2017) "Об утверждении нормативов допустимого изъятия охотничьих ресурсов и нормативов численности охотничьих ресурсов в охотничьих угодьях" установлен норматив допустимого изъятия, в отношении следующих видов: росомаха - до 10%; куницы — до 35%; бобр — до 50 % от численности животных на 1 апреля текущего года по данным государственного мониторинга охотничьих ресурсов и среды их обитания.</w:t>
      </w:r>
      <w:proofErr w:type="gramEnd"/>
      <w:r w:rsidRPr="008C5E58">
        <w:rPr>
          <w:rFonts w:ascii="Arial" w:eastAsia="Times New Roman" w:hAnsi="Arial" w:cs="Arial"/>
          <w:color w:val="000000"/>
          <w:sz w:val="23"/>
          <w:szCs w:val="23"/>
          <w:lang w:eastAsia="ru-RU"/>
        </w:rPr>
        <w:t xml:space="preserve"> Объем (количество особей) добычи данных видов определяется ежегодно 1 апреля.</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Кроме того, правилами охоты устанавливается, что охота на сусликов, кротов, хомяков, бурундуков, ондатру, выдру и водяную полевку осуществляется при помощи самоловов.</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Утвержденные нормы пропускной способности используются для определения максимального количества разрешений на добычу конкретного вида в общедоступных охотничьих угодьях, </w:t>
      </w:r>
      <w:proofErr w:type="gramStart"/>
      <w:r w:rsidRPr="008C5E58">
        <w:rPr>
          <w:rFonts w:ascii="Arial" w:eastAsia="Times New Roman" w:hAnsi="Arial" w:cs="Arial"/>
          <w:color w:val="000000"/>
          <w:sz w:val="23"/>
          <w:szCs w:val="23"/>
          <w:lang w:eastAsia="ru-RU"/>
        </w:rPr>
        <w:t>которое</w:t>
      </w:r>
      <w:proofErr w:type="gramEnd"/>
      <w:r w:rsidRPr="008C5E58">
        <w:rPr>
          <w:rFonts w:ascii="Arial" w:eastAsia="Times New Roman" w:hAnsi="Arial" w:cs="Arial"/>
          <w:color w:val="000000"/>
          <w:sz w:val="23"/>
          <w:szCs w:val="23"/>
          <w:lang w:eastAsia="ru-RU"/>
        </w:rPr>
        <w:t xml:space="preserve"> может быть выдано для каждого муниципального района, городского округа Тюменской области. В связи с чем, определено количество разрешений на добычу данных видов для каждого общедоступного охотничьего угодья муниципального района, городского округа Тюменской области.</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Количество разрешений на добычу видов охотничьих ресурсов, согласно нормам пропускной способности охотничьих угодий приведено в </w:t>
      </w:r>
      <w:hyperlink r:id="rId8" w:history="1">
        <w:r w:rsidRPr="008C5E58">
          <w:rPr>
            <w:rFonts w:ascii="Arial" w:eastAsia="Times New Roman" w:hAnsi="Arial" w:cs="Arial"/>
            <w:color w:val="5E5DA0"/>
            <w:sz w:val="23"/>
            <w:u w:val="single"/>
            <w:lang w:eastAsia="ru-RU"/>
          </w:rPr>
          <w:t>приложении 1</w:t>
        </w:r>
      </w:hyperlink>
      <w:r w:rsidRPr="008C5E58">
        <w:rPr>
          <w:rFonts w:ascii="Arial" w:eastAsia="Times New Roman" w:hAnsi="Arial" w:cs="Arial"/>
          <w:color w:val="000000"/>
          <w:sz w:val="23"/>
          <w:szCs w:val="23"/>
          <w:lang w:eastAsia="ru-RU"/>
        </w:rPr>
        <w:t>.</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proofErr w:type="gramStart"/>
      <w:r w:rsidRPr="008C5E58">
        <w:rPr>
          <w:rFonts w:ascii="Arial" w:eastAsia="Times New Roman" w:hAnsi="Arial" w:cs="Arial"/>
          <w:color w:val="000000"/>
          <w:sz w:val="23"/>
          <w:szCs w:val="23"/>
          <w:lang w:eastAsia="ru-RU"/>
        </w:rPr>
        <w:t>Кроме того, изменились нормы допустимой добычи (приложение 1 к </w:t>
      </w:r>
      <w:hyperlink r:id="rId9" w:tgtFrame="_blank" w:history="1">
        <w:r w:rsidRPr="008C5E58">
          <w:rPr>
            <w:rFonts w:ascii="Arial" w:eastAsia="Times New Roman" w:hAnsi="Arial" w:cs="Arial"/>
            <w:color w:val="5E5DA0"/>
            <w:sz w:val="23"/>
            <w:u w:val="single"/>
            <w:lang w:eastAsia="ru-RU"/>
          </w:rPr>
          <w:t>постановлению</w:t>
        </w:r>
      </w:hyperlink>
      <w:r w:rsidRPr="008C5E58">
        <w:rPr>
          <w:rFonts w:ascii="Arial" w:eastAsia="Times New Roman" w:hAnsi="Arial" w:cs="Arial"/>
          <w:color w:val="000000"/>
          <w:sz w:val="23"/>
          <w:szCs w:val="23"/>
          <w:lang w:eastAsia="ru-RU"/>
        </w:rPr>
        <w:t>) некоторых видов охотничьих ресурсов в Тюменской области, с учетом данных государственного мониторинга охотничьих ресурсов, а также с учетом объектов животного мира, в отношении которых согласно статье 333.3 Налогового кодекса Российской Федерации (часть вторая) от 05.08.2000 N117-ФЗ (ред. от 28.12.2016) установлены ставки сбора за пользование.</w:t>
      </w:r>
      <w:proofErr w:type="gramEnd"/>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proofErr w:type="gramStart"/>
      <w:r w:rsidRPr="008C5E58">
        <w:rPr>
          <w:rFonts w:ascii="Arial" w:eastAsia="Times New Roman" w:hAnsi="Arial" w:cs="Arial"/>
          <w:color w:val="000000"/>
          <w:sz w:val="23"/>
          <w:szCs w:val="23"/>
          <w:lang w:eastAsia="ru-RU"/>
        </w:rPr>
        <w:t>В том числе, впервые установлены нормы допустимой добычи следующих видов: камышница с нормой допустимой добычи 5 в сезон, погоныш, малый погоныш, погоныш-крошка, водяной пастушок, для которых установлена норма допустимой добычи 10 в сезон.</w:t>
      </w:r>
      <w:proofErr w:type="gramEnd"/>
      <w:r w:rsidRPr="008C5E58">
        <w:rPr>
          <w:rFonts w:ascii="Arial" w:eastAsia="Times New Roman" w:hAnsi="Arial" w:cs="Arial"/>
          <w:color w:val="000000"/>
          <w:sz w:val="23"/>
          <w:szCs w:val="23"/>
          <w:lang w:eastAsia="ru-RU"/>
        </w:rPr>
        <w:t xml:space="preserve"> Ставка сбора за пользование для данных видов составляет 20 рублей за одну особь.</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Параметрами осуществления охоты в охотничьих угодьях Тюменской области, утвержденными постановлением губернатора Тюменской области от 30.11.2012 N 168, определены </w:t>
      </w:r>
      <w:hyperlink r:id="rId10" w:tgtFrame="_blank" w:history="1">
        <w:r w:rsidRPr="008C5E58">
          <w:rPr>
            <w:rFonts w:ascii="Arial" w:eastAsia="Times New Roman" w:hAnsi="Arial" w:cs="Arial"/>
            <w:color w:val="5E5DA0"/>
            <w:sz w:val="23"/>
            <w:u w:val="single"/>
            <w:lang w:eastAsia="ru-RU"/>
          </w:rPr>
          <w:t>сроки осуществления охоты</w:t>
        </w:r>
      </w:hyperlink>
      <w:r w:rsidRPr="008C5E58">
        <w:rPr>
          <w:rFonts w:ascii="Arial" w:eastAsia="Times New Roman" w:hAnsi="Arial" w:cs="Arial"/>
          <w:color w:val="000000"/>
          <w:sz w:val="23"/>
          <w:szCs w:val="23"/>
          <w:lang w:eastAsia="ru-RU"/>
        </w:rPr>
        <w:t>.</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Охота на пернатую дичь с островными и континентальными легавыми собаками, </w:t>
      </w:r>
      <w:proofErr w:type="spellStart"/>
      <w:r w:rsidRPr="008C5E58">
        <w:rPr>
          <w:rFonts w:ascii="Arial" w:eastAsia="Times New Roman" w:hAnsi="Arial" w:cs="Arial"/>
          <w:color w:val="000000"/>
          <w:sz w:val="23"/>
          <w:szCs w:val="23"/>
          <w:lang w:eastAsia="ru-RU"/>
        </w:rPr>
        <w:t>ретриверами</w:t>
      </w:r>
      <w:proofErr w:type="spellEnd"/>
      <w:r w:rsidRPr="008C5E58">
        <w:rPr>
          <w:rFonts w:ascii="Arial" w:eastAsia="Times New Roman" w:hAnsi="Arial" w:cs="Arial"/>
          <w:color w:val="000000"/>
          <w:sz w:val="23"/>
          <w:szCs w:val="23"/>
          <w:lang w:eastAsia="ru-RU"/>
        </w:rPr>
        <w:t>, спаниелями, за исключением охоты на болотно-луговую дичь, осуществляется в сроки согласно Правилам охоты.</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lastRenderedPageBreak/>
        <w:t>Одной из основных особенностей получения разрешений на добычу охотничьих ресурсов в сезоне охоты 2018-2019 гг. является разделение процедур распределения и выдачи разрешений на добычу охотничьих ресурсов. Частью 1 статьи 5 Закона Тюменской области «О добыче охотничьих ресурсов в Тюменской области определено, что распределение разрешений на добычу охотничьих ресурсов между физическими лицами, осуществляющими охоту в общедоступных охотничьих угодьях, осуществляется уполномоченным органом исполнительной власти Тюменской области до предоставления государственной услуги по выдаче таких разрешений.</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В </w:t>
      </w:r>
      <w:proofErr w:type="gramStart"/>
      <w:r w:rsidRPr="008C5E58">
        <w:rPr>
          <w:rFonts w:ascii="Arial" w:eastAsia="Times New Roman" w:hAnsi="Arial" w:cs="Arial"/>
          <w:color w:val="000000"/>
          <w:sz w:val="23"/>
          <w:szCs w:val="23"/>
          <w:lang w:eastAsia="ru-RU"/>
        </w:rPr>
        <w:t>связи</w:t>
      </w:r>
      <w:proofErr w:type="gramEnd"/>
      <w:r w:rsidRPr="008C5E58">
        <w:rPr>
          <w:rFonts w:ascii="Arial" w:eastAsia="Times New Roman" w:hAnsi="Arial" w:cs="Arial"/>
          <w:color w:val="000000"/>
          <w:sz w:val="23"/>
          <w:szCs w:val="23"/>
          <w:lang w:eastAsia="ru-RU"/>
        </w:rPr>
        <w:t xml:space="preserve"> с чем до обращения за получением государственной услуги «Распределение разрешений на добычу охотничьих ресурсов...» рекомендуется ознакомиться с данной информацией, а также с информацией о сроках охоты, об установленных нормативах и нормах в области охоты и сохранения охотничьих ресурсов (Нормы пропускной способности, Нормы допустимой добычи). Вся необходимая информация доступна для ознакомления в информационно-телекоммуникационной сети «Интернет» на Официальном портале органов государственной власти Тюменской области в разделе </w:t>
      </w:r>
      <w:proofErr w:type="spellStart"/>
      <w:r w:rsidRPr="008C5E58">
        <w:rPr>
          <w:rFonts w:ascii="Arial" w:eastAsia="Times New Roman" w:hAnsi="Arial" w:cs="Arial"/>
          <w:color w:val="000000"/>
          <w:sz w:val="23"/>
          <w:szCs w:val="23"/>
          <w:lang w:eastAsia="ru-RU"/>
        </w:rPr>
        <w:t>Госохотуправления</w:t>
      </w:r>
      <w:proofErr w:type="spellEnd"/>
      <w:r w:rsidRPr="008C5E58">
        <w:rPr>
          <w:rFonts w:ascii="Arial" w:eastAsia="Times New Roman" w:hAnsi="Arial" w:cs="Arial"/>
          <w:color w:val="000000"/>
          <w:sz w:val="23"/>
          <w:szCs w:val="23"/>
          <w:lang w:eastAsia="ru-RU"/>
        </w:rPr>
        <w:t xml:space="preserve"> Тюменской области, в разделе “</w:t>
      </w:r>
      <w:hyperlink r:id="rId11" w:history="1">
        <w:r w:rsidRPr="008C5E58">
          <w:rPr>
            <w:rFonts w:ascii="Arial" w:eastAsia="Times New Roman" w:hAnsi="Arial" w:cs="Arial"/>
            <w:color w:val="5E5DA0"/>
            <w:sz w:val="23"/>
            <w:u w:val="single"/>
            <w:lang w:eastAsia="ru-RU"/>
          </w:rPr>
          <w:t>Текущая деятельность</w:t>
        </w:r>
      </w:hyperlink>
      <w:r w:rsidRPr="008C5E58">
        <w:rPr>
          <w:rFonts w:ascii="Arial" w:eastAsia="Times New Roman" w:hAnsi="Arial" w:cs="Arial"/>
          <w:color w:val="000000"/>
          <w:sz w:val="23"/>
          <w:szCs w:val="23"/>
          <w:lang w:eastAsia="ru-RU"/>
        </w:rPr>
        <w:t>”.</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В соответствии с Законом «Об охоте» прием заявок на распределение разрешений на добычу охотничьих ресурсов (за исключением видов: лось, косуля, кабан, медведь) начинается с первого рабочего дня текущего календарного года и заканчивается за 5 дней до окончания срока охоты на соответствующий вид охотничьего ресурса.</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Таким образом, в 2018 году прием заявок на распределение разрешений на добычу пернатой дичи в весенний период и в летне-осенний период, на добычу пушных животных в осенне-зимний период начинается с 9 января 2018 года.</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Рассмотрение заявок осуществляется в порядке очередности в зависимости от даты и времени их поступления в уполномоченный орган - в течение пяти рабочих дней со дня поступления заявки.</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По результатам рассмотрения заявок Управление распределяет разрешения на добычу охотничьих ресурсов либо отказывает в участии заявки в распределении разрешений при наличии следующих оснований:</w:t>
      </w:r>
    </w:p>
    <w:p w:rsidR="008C5E58" w:rsidRPr="008C5E58" w:rsidRDefault="008C5E58" w:rsidP="008C5E58">
      <w:pPr>
        <w:numPr>
          <w:ilvl w:val="0"/>
          <w:numId w:val="1"/>
        </w:numPr>
        <w:shd w:val="clear" w:color="auto" w:fill="FFFFFF"/>
        <w:spacing w:before="100" w:beforeAutospacing="1"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заявка не соответствует содержанию, установленному правительством Тюменской области и (или) заявка содержит недостоверные сведения;</w:t>
      </w:r>
    </w:p>
    <w:p w:rsidR="008C5E58" w:rsidRPr="008C5E58" w:rsidRDefault="008C5E58" w:rsidP="008C5E58">
      <w:pPr>
        <w:numPr>
          <w:ilvl w:val="0"/>
          <w:numId w:val="1"/>
        </w:numPr>
        <w:shd w:val="clear" w:color="auto" w:fill="FFFFFF"/>
        <w:spacing w:before="100" w:beforeAutospacing="1"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наличие в государственном </w:t>
      </w:r>
      <w:proofErr w:type="spellStart"/>
      <w:r w:rsidRPr="008C5E58">
        <w:rPr>
          <w:rFonts w:ascii="Arial" w:eastAsia="Times New Roman" w:hAnsi="Arial" w:cs="Arial"/>
          <w:color w:val="000000"/>
          <w:sz w:val="23"/>
          <w:szCs w:val="23"/>
          <w:lang w:eastAsia="ru-RU"/>
        </w:rPr>
        <w:t>охотхозяйственном</w:t>
      </w:r>
      <w:proofErr w:type="spellEnd"/>
      <w:r w:rsidRPr="008C5E58">
        <w:rPr>
          <w:rFonts w:ascii="Arial" w:eastAsia="Times New Roman" w:hAnsi="Arial" w:cs="Arial"/>
          <w:color w:val="000000"/>
          <w:sz w:val="23"/>
          <w:szCs w:val="23"/>
          <w:lang w:eastAsia="ru-RU"/>
        </w:rPr>
        <w:t xml:space="preserve"> реестре сведений об аннулировании охотничьего билета физического лица, подавшего заявку;</w:t>
      </w:r>
    </w:p>
    <w:p w:rsidR="008C5E58" w:rsidRPr="008C5E58" w:rsidRDefault="008C5E58" w:rsidP="008C5E58">
      <w:pPr>
        <w:numPr>
          <w:ilvl w:val="0"/>
          <w:numId w:val="1"/>
        </w:numPr>
        <w:shd w:val="clear" w:color="auto" w:fill="FFFFFF"/>
        <w:spacing w:before="100" w:beforeAutospacing="1"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заявка направлена с нарушением установленных сроков подачи заявок;</w:t>
      </w:r>
    </w:p>
    <w:p w:rsidR="008C5E58" w:rsidRPr="008C5E58" w:rsidRDefault="008C5E58" w:rsidP="008C5E58">
      <w:pPr>
        <w:numPr>
          <w:ilvl w:val="0"/>
          <w:numId w:val="1"/>
        </w:numPr>
        <w:shd w:val="clear" w:color="auto" w:fill="FFFFFF"/>
        <w:spacing w:before="100" w:beforeAutospacing="1"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указание в заявке сведений о предполагаемых к добыче отдельных видах охотничьих ресурсов или охотничьих ресурсов определенного пола и возраста, указанных в заявке, в отношении которых правилами охоты и (или) правительством Тюменской области установлены запреты в соответствии с Федеральным законом от 24.07.2009 № 209-ФЗ «Об охоте...»;</w:t>
      </w:r>
    </w:p>
    <w:p w:rsidR="008C5E58" w:rsidRPr="008C5E58" w:rsidRDefault="008C5E58" w:rsidP="008C5E58">
      <w:pPr>
        <w:numPr>
          <w:ilvl w:val="0"/>
          <w:numId w:val="1"/>
        </w:numPr>
        <w:shd w:val="clear" w:color="auto" w:fill="FFFFFF"/>
        <w:spacing w:before="100" w:beforeAutospacing="1"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если на момент поступления заявки превышены установленные нормативы и нормы в области охоты и сохранения охотничьих ресурсов;</w:t>
      </w:r>
    </w:p>
    <w:p w:rsidR="008C5E58" w:rsidRPr="008C5E58" w:rsidRDefault="008C5E58" w:rsidP="008C5E58">
      <w:pPr>
        <w:numPr>
          <w:ilvl w:val="0"/>
          <w:numId w:val="1"/>
        </w:numPr>
        <w:shd w:val="clear" w:color="auto" w:fill="FFFFFF"/>
        <w:spacing w:before="100" w:beforeAutospacing="1"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lastRenderedPageBreak/>
        <w:t>если в заявке на участие физических лиц в распределении разрешений указано несколько мест охоты (муниципальных районов, городских округов) в случае:</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а) если добыча указанных в заявке охотничьих ресурсов осуществляется в соответствии с лимитом (квотами) их добычи;</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б) если в отношении указанных в заявке охотничьих ресурсов определены различные сроки охоты;</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в) если в предполагаемых местах охоты (муниципальных районах, городских округах) установлены различные нормативы и нормы в области охоты и сохранения охотничьих ресурсов в отношении указанного в заявке охотничьего ресурса.</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По результатам рассмотрения заявок и при отсутствии оснований для отказа в участии заявки в распределении разрешений Управление распределяет разрешения на добычу охотничьих ресурсов, в порядке очередности поступления заявок в зависимости от даты и времени их поступления в течение пяти рабочих дней со дня поступления заявки.</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Управление в течение 5 рабочих дней со дня поступления заявки уведомляет физических лиц, направивших заявки, о результатах рассмотрения заявок путем размещения реестра рассмотрения заявок и информации о результатах распределения разрешений на добычу охотничьих ресурсов на Официальном портале органов государственной власти Тюменской области на странице Управления.</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В случае отказа в участии заявки в распределении разрешений в реестре результатов рассмотрения заявок указываются основания такого отказа.</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В случае</w:t>
      </w:r>
      <w:proofErr w:type="gramStart"/>
      <w:r w:rsidRPr="008C5E58">
        <w:rPr>
          <w:rFonts w:ascii="Arial" w:eastAsia="Times New Roman" w:hAnsi="Arial" w:cs="Arial"/>
          <w:color w:val="000000"/>
          <w:sz w:val="23"/>
          <w:szCs w:val="23"/>
          <w:lang w:eastAsia="ru-RU"/>
        </w:rPr>
        <w:t>,</w:t>
      </w:r>
      <w:proofErr w:type="gramEnd"/>
      <w:r w:rsidRPr="008C5E58">
        <w:rPr>
          <w:rFonts w:ascii="Arial" w:eastAsia="Times New Roman" w:hAnsi="Arial" w:cs="Arial"/>
          <w:color w:val="000000"/>
          <w:sz w:val="23"/>
          <w:szCs w:val="23"/>
          <w:lang w:eastAsia="ru-RU"/>
        </w:rPr>
        <w:t xml:space="preserve"> если физические лица, которым распределены разрешения на добычу охотничьих ресурсов, не обратились в управление в течение 15 рабочих дней со дня размещения информации на </w:t>
      </w:r>
      <w:hyperlink r:id="rId12" w:tgtFrame="_blank" w:history="1">
        <w:r w:rsidRPr="008C5E58">
          <w:rPr>
            <w:rFonts w:ascii="Arial" w:eastAsia="Times New Roman" w:hAnsi="Arial" w:cs="Arial"/>
            <w:color w:val="5E5DA0"/>
            <w:sz w:val="23"/>
            <w:u w:val="single"/>
            <w:lang w:eastAsia="ru-RU"/>
          </w:rPr>
          <w:t>официальном портале</w:t>
        </w:r>
      </w:hyperlink>
      <w:r w:rsidRPr="008C5E58">
        <w:rPr>
          <w:rFonts w:ascii="Arial" w:eastAsia="Times New Roman" w:hAnsi="Arial" w:cs="Arial"/>
          <w:color w:val="000000"/>
          <w:sz w:val="23"/>
          <w:szCs w:val="23"/>
          <w:lang w:eastAsia="ru-RU"/>
        </w:rPr>
        <w:t>, указанные разрешения подлежат повторному распределению.</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Из системного анализа новых положений Закона «О добыче» и нормативно-правовых актов следует:</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на виды (лось, косуля, кабан, медведь бурый) охотничьих ресурсов разрешение может быть распределено только на один муниципальный район (городской округ) Тюменской области, как это и указано в </w:t>
      </w:r>
      <w:proofErr w:type="gramStart"/>
      <w:r w:rsidRPr="008C5E58">
        <w:rPr>
          <w:rFonts w:ascii="Arial" w:eastAsia="Times New Roman" w:hAnsi="Arial" w:cs="Arial"/>
          <w:color w:val="000000"/>
          <w:sz w:val="23"/>
          <w:szCs w:val="23"/>
          <w:lang w:eastAsia="ru-RU"/>
        </w:rPr>
        <w:t>ч</w:t>
      </w:r>
      <w:proofErr w:type="gramEnd"/>
      <w:r w:rsidRPr="008C5E58">
        <w:rPr>
          <w:rFonts w:ascii="Arial" w:eastAsia="Times New Roman" w:hAnsi="Arial" w:cs="Arial"/>
          <w:color w:val="000000"/>
          <w:sz w:val="23"/>
          <w:szCs w:val="23"/>
          <w:lang w:eastAsia="ru-RU"/>
        </w:rPr>
        <w:t>. 5 ст. 5 Закона «О добыче».</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При разных сроках охоты на разные виды охотничьих ресурсов разрешение на добычу охотничьих ресурсов может быть распределено только на один муниципальный район (городской округ) Тюменской области (т. е. в одном разрешении можно указать разные виды с различными сроками охоты, но только в один район).</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proofErr w:type="gramStart"/>
      <w:r w:rsidRPr="008C5E58">
        <w:rPr>
          <w:rFonts w:ascii="Arial" w:eastAsia="Times New Roman" w:hAnsi="Arial" w:cs="Arial"/>
          <w:color w:val="000000"/>
          <w:sz w:val="23"/>
          <w:szCs w:val="23"/>
          <w:lang w:eastAsia="ru-RU"/>
        </w:rPr>
        <w:t>При разных нормативах и нормах в области охоты и сохранения охотничьих ресурсов в отношении указанного в заявлении охотничьего ресурса разрешение на добычу охотничьих ресурсов может быть распределено только на один муниципальный район (городской округ) Тюменской области (т. е. в одном разрешении можно указать разные виды с различными нормативами и нормами в области охоты, но только в один район).</w:t>
      </w:r>
      <w:proofErr w:type="gramEnd"/>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lastRenderedPageBreak/>
        <w:t xml:space="preserve">Однако в связи с тем, что нормы пропускной способности охотничьих угодий установлены </w:t>
      </w:r>
      <w:proofErr w:type="gramStart"/>
      <w:r w:rsidRPr="008C5E58">
        <w:rPr>
          <w:rFonts w:ascii="Arial" w:eastAsia="Times New Roman" w:hAnsi="Arial" w:cs="Arial"/>
          <w:color w:val="000000"/>
          <w:sz w:val="23"/>
          <w:szCs w:val="23"/>
          <w:lang w:eastAsia="ru-RU"/>
        </w:rPr>
        <w:t>с</w:t>
      </w:r>
      <w:proofErr w:type="gramEnd"/>
      <w:r w:rsidRPr="008C5E58">
        <w:rPr>
          <w:rFonts w:ascii="Arial" w:eastAsia="Times New Roman" w:hAnsi="Arial" w:cs="Arial"/>
          <w:color w:val="000000"/>
          <w:sz w:val="23"/>
          <w:szCs w:val="23"/>
          <w:lang w:eastAsia="ru-RU"/>
        </w:rPr>
        <w:t xml:space="preserve"> </w:t>
      </w:r>
      <w:proofErr w:type="gramStart"/>
      <w:r w:rsidRPr="008C5E58">
        <w:rPr>
          <w:rFonts w:ascii="Arial" w:eastAsia="Times New Roman" w:hAnsi="Arial" w:cs="Arial"/>
          <w:color w:val="000000"/>
          <w:sz w:val="23"/>
          <w:szCs w:val="23"/>
          <w:lang w:eastAsia="ru-RU"/>
        </w:rPr>
        <w:t>разрезе</w:t>
      </w:r>
      <w:proofErr w:type="gramEnd"/>
      <w:r w:rsidRPr="008C5E58">
        <w:rPr>
          <w:rFonts w:ascii="Arial" w:eastAsia="Times New Roman" w:hAnsi="Arial" w:cs="Arial"/>
          <w:color w:val="000000"/>
          <w:sz w:val="23"/>
          <w:szCs w:val="23"/>
          <w:lang w:eastAsia="ru-RU"/>
        </w:rPr>
        <w:t xml:space="preserve"> четырех природно-климатических зон области, включающих в себя несколько муниципальных районов, при отсутствии оснований для отказа в участии заявки в распределении разрешений, разрешение может быть распределено в несколько муниципальных районов, но водящих в одну Зону.</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При этом распределение разрешений в несколько муниципальных районов, водящих в одну Зону, либо только в один муниципальный район, не ограничивает охотника </w:t>
      </w:r>
      <w:proofErr w:type="gramStart"/>
      <w:r w:rsidRPr="008C5E58">
        <w:rPr>
          <w:rFonts w:ascii="Arial" w:eastAsia="Times New Roman" w:hAnsi="Arial" w:cs="Arial"/>
          <w:color w:val="000000"/>
          <w:sz w:val="23"/>
          <w:szCs w:val="23"/>
          <w:lang w:eastAsia="ru-RU"/>
        </w:rPr>
        <w:t>в праве</w:t>
      </w:r>
      <w:proofErr w:type="gramEnd"/>
      <w:r w:rsidRPr="008C5E58">
        <w:rPr>
          <w:rFonts w:ascii="Arial" w:eastAsia="Times New Roman" w:hAnsi="Arial" w:cs="Arial"/>
          <w:color w:val="000000"/>
          <w:sz w:val="23"/>
          <w:szCs w:val="23"/>
          <w:lang w:eastAsia="ru-RU"/>
        </w:rPr>
        <w:t xml:space="preserve"> подать заявки в другой район либо в другие районы (городской округ), входящие в состав другой Зоны. Необходимо учитывать, что в случае подачи в один район либо в одну Зону более одной заявки с указанием одной и той же информации разрешение можно распределить только одно, так как в ином случае будет превышена норма добычи данного охотничьего ресурса. Если заявитель подал две абсолютно одинаковые заявки, данному заявителю можно распределить только одно разрешение на добычу охотничьих ресурсов, по второму заявлению направляется отказ по п.п. 5 п. 4.2. ст. 5 Закона «О добыче», так как превышается установленная норма добычи, что и является причиной отказа.</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proofErr w:type="gramStart"/>
      <w:r w:rsidRPr="008C5E58">
        <w:rPr>
          <w:rFonts w:ascii="Arial" w:eastAsia="Times New Roman" w:hAnsi="Arial" w:cs="Arial"/>
          <w:color w:val="000000"/>
          <w:sz w:val="23"/>
          <w:szCs w:val="23"/>
          <w:lang w:eastAsia="ru-RU"/>
        </w:rPr>
        <w:t>Итак, если в заявке на участие физических лиц в распределении разрешений на добычу охотничьих ресурсов указано несколько мест охоты (муниципальных районов, городских округов), распределение разрешений в несколько муниципальных районов возможно только при условии, что они входят в одну Зону и если для этих видов установлены одинаковые сроки охоты, а нормативы и нормы в отношении указанных в заявке охотничьих ресурсов совпадают</w:t>
      </w:r>
      <w:proofErr w:type="gramEnd"/>
      <w:r w:rsidRPr="008C5E58">
        <w:rPr>
          <w:rFonts w:ascii="Arial" w:eastAsia="Times New Roman" w:hAnsi="Arial" w:cs="Arial"/>
          <w:color w:val="000000"/>
          <w:sz w:val="23"/>
          <w:szCs w:val="23"/>
          <w:lang w:eastAsia="ru-RU"/>
        </w:rPr>
        <w:t>.</w:t>
      </w:r>
    </w:p>
    <w:p w:rsidR="008C5E58" w:rsidRPr="008C5E58" w:rsidRDefault="008C5E58" w:rsidP="008C5E58">
      <w:pPr>
        <w:shd w:val="clear" w:color="auto" w:fill="FFFFFF"/>
        <w:spacing w:after="240" w:line="240" w:lineRule="auto"/>
        <w:jc w:val="both"/>
        <w:rPr>
          <w:rFonts w:ascii="Arial" w:eastAsia="Times New Roman" w:hAnsi="Arial" w:cs="Arial"/>
          <w:color w:val="000000"/>
          <w:sz w:val="23"/>
          <w:szCs w:val="23"/>
          <w:lang w:eastAsia="ru-RU"/>
        </w:rPr>
      </w:pPr>
      <w:r w:rsidRPr="008C5E58">
        <w:rPr>
          <w:rFonts w:ascii="Arial" w:eastAsia="Times New Roman" w:hAnsi="Arial" w:cs="Arial"/>
          <w:color w:val="000000"/>
          <w:sz w:val="23"/>
          <w:szCs w:val="23"/>
          <w:lang w:eastAsia="ru-RU"/>
        </w:rPr>
        <w:t xml:space="preserve">Если в заявке на участие физических лиц в распределении разрешений на добычу охотничьих ресурсов указано только одно место охоты (муниципальный район, городской округ), возможно распределение разрешений на добычу охотничьих любых видов вместе или любой комбинации из видов/группы ресурсов в одном муниципальном районе. </w:t>
      </w:r>
      <w:proofErr w:type="gramStart"/>
      <w:r w:rsidRPr="008C5E58">
        <w:rPr>
          <w:rFonts w:ascii="Arial" w:eastAsia="Times New Roman" w:hAnsi="Arial" w:cs="Arial"/>
          <w:color w:val="000000"/>
          <w:sz w:val="23"/>
          <w:szCs w:val="23"/>
          <w:lang w:eastAsia="ru-RU"/>
        </w:rPr>
        <w:t>Например, для добычи пернатой дичи в одном муниципальном районе можно в одной заявке на участие физических лиц в распределении разрешений указать любые виды пернатой дичи, даже с различными нормативами и нормами в области охоты, любые установленные сроки добычи, в том числе и весеннего и летне-осеннего периода (т. е. в одном разрешении можно указать разные виды с различными нормативами и нормами</w:t>
      </w:r>
      <w:proofErr w:type="gramEnd"/>
      <w:r w:rsidRPr="008C5E58">
        <w:rPr>
          <w:rFonts w:ascii="Arial" w:eastAsia="Times New Roman" w:hAnsi="Arial" w:cs="Arial"/>
          <w:color w:val="000000"/>
          <w:sz w:val="23"/>
          <w:szCs w:val="23"/>
          <w:lang w:eastAsia="ru-RU"/>
        </w:rPr>
        <w:t xml:space="preserve"> в области охоты, имеющие любые сроки добычи, но только в один(!) район).</w:t>
      </w:r>
    </w:p>
    <w:p w:rsidR="004C6980" w:rsidRDefault="004C6980"/>
    <w:sectPr w:rsidR="004C6980" w:rsidSect="004C6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97149"/>
    <w:multiLevelType w:val="multilevel"/>
    <w:tmpl w:val="8CB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C5E58"/>
    <w:rsid w:val="004C6980"/>
    <w:rsid w:val="008C5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5E58"/>
    <w:rPr>
      <w:color w:val="0000FF"/>
      <w:u w:val="single"/>
    </w:rPr>
  </w:style>
</w:styles>
</file>

<file path=word/webSettings.xml><?xml version="1.0" encoding="utf-8"?>
<w:webSettings xmlns:r="http://schemas.openxmlformats.org/officeDocument/2006/relationships" xmlns:w="http://schemas.openxmlformats.org/wordprocessingml/2006/main">
  <w:divs>
    <w:div w:id="5461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tyumen.ru/files/upload/OIV/U_zachita-fauna/%D0%94%D0%BE%D0%BA%D1%83%D0%BC%D0%B5%D0%BD%D1%82%D1%8B/%D0%BF%D1%80%D0%B8%D0%BB%D0%BE%D0%B6%D0%B5%D0%BD%D0%B8%D0%B5%20%D0%BD%D0%BE%D1%80%D0%BC%D1%8B(1).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tyumen.ru/ogv_ru/gov/administrative/security_adm/ongoing/more.htm?id=11491752@cmsArticle" TargetMode="External"/><Relationship Id="rId12" Type="http://schemas.openxmlformats.org/officeDocument/2006/relationships/hyperlink" Target="http://admtyum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tyumen.ru/ogv_ru/gov/administrative/security_adm/ongoing/more.htm?id=11491752@cmsArticle" TargetMode="External"/><Relationship Id="rId11" Type="http://schemas.openxmlformats.org/officeDocument/2006/relationships/hyperlink" Target="https://admtyumen.ru/ogv_ru/gov/administrative/security_adm/ongoing.htm" TargetMode="External"/><Relationship Id="rId5" Type="http://schemas.openxmlformats.org/officeDocument/2006/relationships/hyperlink" Target="https://admtyumen.ru/ogv_ru/gov/administrative/security_adm/ongoing/more.htm?id=11489713@cmsArticle" TargetMode="External"/><Relationship Id="rId10" Type="http://schemas.openxmlformats.org/officeDocument/2006/relationships/hyperlink" Target="https://admtyumen.ru/ogv_ru/gov/administrative/security_adm/ongoing/more.htm?id=11324703@cmsArticle" TargetMode="External"/><Relationship Id="rId4" Type="http://schemas.openxmlformats.org/officeDocument/2006/relationships/webSettings" Target="webSettings.xml"/><Relationship Id="rId9" Type="http://schemas.openxmlformats.org/officeDocument/2006/relationships/hyperlink" Target="https://admtyumen.ru/ogv_ru/gov/administrative/security_adm/ongoing/more.htm?id=11491752@cmsArtic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2232</Words>
  <Characters>12724</Characters>
  <Application>Microsoft Office Word</Application>
  <DocSecurity>0</DocSecurity>
  <Lines>106</Lines>
  <Paragraphs>29</Paragraphs>
  <ScaleCrop>false</ScaleCrop>
  <Company>Microsoft</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dc:creator>
  <cp:lastModifiedBy>Захаров</cp:lastModifiedBy>
  <cp:revision>1</cp:revision>
  <dcterms:created xsi:type="dcterms:W3CDTF">2018-01-11T02:01:00Z</dcterms:created>
  <dcterms:modified xsi:type="dcterms:W3CDTF">2018-01-11T02:02:00Z</dcterms:modified>
</cp:coreProperties>
</file>